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Pr>
        <w:drawing>
          <wp:inline distB="114300" distT="114300" distL="114300" distR="114300">
            <wp:extent cx="5943600" cy="1358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rFonts w:ascii="Helvetica Neue" w:cs="Helvetica Neue" w:eastAsia="Helvetica Neue" w:hAnsi="Helvetica Neue"/>
          <w:b w:val="1"/>
          <w:bCs w:val="1"/>
          <w:color w:val="000000"/>
          <w:sz w:val="22"/>
          <w:szCs w:val="22"/>
          <w:highlight w:val="white"/>
        </w:rPr>
      </w:pPr>
      <w:bookmarkStart w:colFirst="0" w:colLast="0" w:name="_s70icmc3smj9" w:id="0"/>
      <w:bookmarkEnd w:id="0"/>
      <w:r w:rsidDel="00000000" w:rsidR="00000000" w:rsidRPr="00000000">
        <w:rPr>
          <w:rFonts w:ascii="Helvetica Neue" w:cs="Helvetica Neue" w:eastAsia="Helvetica Neue" w:hAnsi="Helvetica Neue"/>
          <w:b w:val="1"/>
          <w:bCs w:val="1"/>
          <w:color w:val="000000"/>
          <w:sz w:val="22"/>
          <w:szCs w:val="22"/>
          <w:highlight w:val="white"/>
          <w:rtl w:val="0"/>
        </w:rPr>
        <w:t xml:space="preserve">REGIONALITY SUNSHINE COAST </w:t>
      </w:r>
      <w:r w:rsidDel="00000000" w:rsidR="00000000" w:rsidRPr="00000000">
        <w:rPr>
          <w:rFonts w:ascii="Helvetica Neue" w:cs="Helvetica Neue" w:eastAsia="Helvetica Neue" w:hAnsi="Helvetica Neue"/>
          <w:b w:val="1"/>
          <w:bCs w:val="1"/>
          <w:color w:val="000000"/>
          <w:sz w:val="22"/>
          <w:szCs w:val="22"/>
          <w:highlight w:val="white"/>
          <w:rtl w:val="0"/>
        </w:rPr>
        <w:t xml:space="preserve">2026 </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rFonts w:ascii="Helvetica Neue" w:cs="Helvetica Neue" w:eastAsia="Helvetica Neue" w:hAnsi="Helvetica Neue"/>
          <w:b w:val="1"/>
          <w:bCs w:val="1"/>
          <w:color w:val="000000"/>
          <w:sz w:val="22"/>
          <w:szCs w:val="22"/>
          <w:highlight w:val="white"/>
        </w:rPr>
      </w:pPr>
      <w:bookmarkStart w:colFirst="0" w:colLast="0" w:name="_94doypcsjuwb" w:id="1"/>
      <w:bookmarkEnd w:id="1"/>
      <w:r w:rsidDel="00000000" w:rsidR="00000000" w:rsidRPr="00000000">
        <w:rPr>
          <w:rFonts w:ascii="Helvetica Neue" w:cs="Helvetica Neue" w:eastAsia="Helvetica Neue" w:hAnsi="Helvetica Neue"/>
          <w:b w:val="1"/>
          <w:bCs w:val="1"/>
          <w:color w:val="000000"/>
          <w:sz w:val="22"/>
          <w:szCs w:val="22"/>
          <w:highlight w:val="white"/>
          <w:rtl w:val="0"/>
        </w:rPr>
        <w:t xml:space="preserve">REGISTRATION TERMS AND CONDITIONS </w:t>
      </w:r>
    </w:p>
    <w:p w:rsidR="00000000" w:rsidDel="00000000" w:rsidP="00000000" w:rsidRDefault="00000000" w:rsidRPr="00000000" w14:paraId="00000005">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8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By registering for Regionality Sunshine Coast 2026, you (the ‘delegate’) understand and agree that:</w:t>
      </w:r>
    </w:p>
    <w:p w:rsidR="00000000" w:rsidDel="00000000" w:rsidP="00000000" w:rsidRDefault="00000000" w:rsidRPr="00000000" w14:paraId="00000007">
      <w:pPr>
        <w:spacing w:line="240" w:lineRule="auto"/>
        <w:ind w:left="720" w:hanging="36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1.</w:t>
        <w:tab/>
        <w:t xml:space="preserve">General</w:t>
      </w:r>
    </w:p>
    <w:p w:rsidR="00000000" w:rsidDel="00000000" w:rsidP="00000000" w:rsidRDefault="00000000" w:rsidRPr="00000000" w14:paraId="00000008">
      <w:pPr>
        <w:spacing w:line="240" w:lineRule="auto"/>
        <w:ind w:left="720" w:hanging="36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09">
      <w:pPr>
        <w:spacing w:line="240" w:lineRule="auto"/>
        <w:ind w:left="1170" w:hanging="450"/>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highlight w:val="white"/>
          <w:rtl w:val="0"/>
        </w:rPr>
        <w:t xml:space="preserve">1.1  </w:t>
      </w:r>
      <w:r w:rsidDel="00000000" w:rsidR="00000000" w:rsidRPr="00000000">
        <w:rPr>
          <w:rFonts w:ascii="Helvetica Neue" w:cs="Helvetica Neue" w:eastAsia="Helvetica Neue" w:hAnsi="Helvetica Neue"/>
          <w:color w:val="222222"/>
          <w:highlight w:val="white"/>
          <w:rtl w:val="0"/>
        </w:rPr>
        <w:t xml:space="preserve">By registering for this event you agree to abide by all AIDC Regionality Sunshine Coast 2026 Terms and Conditions. Failure to abide by the Terms and Conditions may result in you being asked to leave the Event.</w:t>
      </w:r>
    </w:p>
    <w:p w:rsidR="00000000" w:rsidDel="00000000" w:rsidP="00000000" w:rsidRDefault="00000000" w:rsidRPr="00000000" w14:paraId="0000000A">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color w:val="222222"/>
          <w:highlight w:val="white"/>
          <w:rtl w:val="0"/>
        </w:rPr>
        <w:t xml:space="preserve">1.2  </w:t>
      </w:r>
      <w:r w:rsidDel="00000000" w:rsidR="00000000" w:rsidRPr="00000000">
        <w:rPr>
          <w:rFonts w:ascii="Helvetica Neue" w:cs="Helvetica Neue" w:eastAsia="Helvetica Neue" w:hAnsi="Helvetica Neue"/>
          <w:highlight w:val="white"/>
          <w:rtl w:val="0"/>
        </w:rPr>
        <w:t xml:space="preserve">In 2026, AIDC will deliver Regionality Sunshine Coast 2026 as an </w:t>
      </w:r>
      <w:r w:rsidDel="00000000" w:rsidR="00000000" w:rsidRPr="00000000">
        <w:rPr>
          <w:rFonts w:ascii="Helvetica Neue" w:cs="Helvetica Neue" w:eastAsia="Helvetica Neue" w:hAnsi="Helvetica Neue"/>
          <w:highlight w:val="white"/>
          <w:rtl w:val="0"/>
        </w:rPr>
        <w:t xml:space="preserve">in-person event</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0B">
      <w:pPr>
        <w:spacing w:line="240" w:lineRule="auto"/>
        <w:ind w:left="1170" w:firstLine="27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1.2.1. The in-person event delivery consists of:</w:t>
      </w:r>
    </w:p>
    <w:p w:rsidR="00000000" w:rsidDel="00000000" w:rsidP="00000000" w:rsidRDefault="00000000" w:rsidRPr="00000000" w14:paraId="0000000C">
      <w:pPr>
        <w:spacing w:line="240" w:lineRule="auto"/>
        <w:ind w:left="207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sessions and activities on Friday 7 August 2026 in Maroochydore, Queensland, at Maroochy RSL Events Centre (the ‘Event’)</w:t>
      </w:r>
    </w:p>
    <w:p w:rsidR="00000000" w:rsidDel="00000000" w:rsidP="00000000" w:rsidRDefault="00000000" w:rsidRPr="00000000" w14:paraId="0000000D">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1.3  All delegate registrations are non-transferable. It is a condition of attendance that your registration cannot be used by another person.</w:t>
      </w:r>
    </w:p>
    <w:p w:rsidR="00000000" w:rsidDel="00000000" w:rsidP="00000000" w:rsidRDefault="00000000" w:rsidRPr="00000000" w14:paraId="0000000E">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1.4  Unauthorised recordings and/or distribution of material recorded at the Event without permission constitutes a breach of copyright and is prohibited.</w:t>
      </w:r>
    </w:p>
    <w:p w:rsidR="00000000" w:rsidDel="00000000" w:rsidP="00000000" w:rsidRDefault="00000000" w:rsidRPr="00000000" w14:paraId="0000000F">
      <w:pPr>
        <w:spacing w:line="240" w:lineRule="auto"/>
        <w:ind w:left="720" w:hanging="36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10">
      <w:pPr>
        <w:spacing w:line="240" w:lineRule="auto"/>
        <w:ind w:left="720" w:hanging="36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2.</w:t>
        <w:tab/>
        <w:t xml:space="preserve">Conditions of Entry</w:t>
      </w:r>
    </w:p>
    <w:p w:rsidR="00000000" w:rsidDel="00000000" w:rsidP="00000000" w:rsidRDefault="00000000" w:rsidRPr="00000000" w14:paraId="00000011">
      <w:pPr>
        <w:spacing w:line="240" w:lineRule="auto"/>
        <w:ind w:left="720" w:hanging="36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12">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2.1. </w:t>
      </w:r>
      <w:r w:rsidDel="00000000" w:rsidR="00000000" w:rsidRPr="00000000">
        <w:rPr>
          <w:rFonts w:ascii="Helvetica Neue" w:cs="Helvetica Neue" w:eastAsia="Helvetica Neue" w:hAnsi="Helvetica Neue"/>
          <w:highlight w:val="white"/>
          <w:rtl w:val="0"/>
        </w:rPr>
        <w:t xml:space="preserve">The Australian International Documentary Conference (“AIDC”) has zero tolerance for unsafe behaviours, including all forms of harassment, discrimination and bullying based on race, gender, religious belief, disability, sexual orientation or illness. </w:t>
      </w:r>
      <w:r w:rsidDel="00000000" w:rsidR="00000000" w:rsidRPr="00000000">
        <w:rPr>
          <w:rFonts w:ascii="Helvetica Neue" w:cs="Helvetica Neue" w:eastAsia="Helvetica Neue" w:hAnsi="Helvetica Neue"/>
          <w:highlight w:val="white"/>
          <w:rtl w:val="0"/>
        </w:rPr>
        <w:t xml:space="preserve">By registering for this event you agree to abide by all Regionality Sunshine Coast 2026 terms and conditions. Failure to do so may lead to delegates being asked to leave the Event.</w:t>
      </w:r>
      <w:r w:rsidDel="00000000" w:rsidR="00000000" w:rsidRPr="00000000">
        <w:rPr>
          <w:rtl w:val="0"/>
        </w:rPr>
      </w:r>
    </w:p>
    <w:p w:rsidR="00000000" w:rsidDel="00000000" w:rsidP="00000000" w:rsidRDefault="00000000" w:rsidRPr="00000000" w14:paraId="00000013">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2.2</w:t>
        <w:tab/>
        <w:t xml:space="preserve">Photo ID must be shown when collecting your </w:t>
      </w:r>
      <w:r w:rsidDel="00000000" w:rsidR="00000000" w:rsidRPr="00000000">
        <w:rPr>
          <w:rFonts w:ascii="Helvetica Neue" w:cs="Helvetica Neue" w:eastAsia="Helvetica Neue" w:hAnsi="Helvetica Neue"/>
          <w:highlight w:val="white"/>
          <w:rtl w:val="0"/>
        </w:rPr>
        <w:t xml:space="preserve">registration</w:t>
      </w:r>
      <w:r w:rsidDel="00000000" w:rsidR="00000000" w:rsidRPr="00000000">
        <w:rPr>
          <w:rFonts w:ascii="Helvetica Neue" w:cs="Helvetica Neue" w:eastAsia="Helvetica Neue" w:hAnsi="Helvetica Neue"/>
          <w:highlight w:val="white"/>
          <w:rtl w:val="0"/>
        </w:rPr>
        <w:t xml:space="preserve"> pass</w:t>
      </w:r>
    </w:p>
    <w:p w:rsidR="00000000" w:rsidDel="00000000" w:rsidP="00000000" w:rsidRDefault="00000000" w:rsidRPr="00000000" w14:paraId="00000014">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2.3  All delegates must adhere to conditions of entry at all Regionality Sunshine Coast 2026 venues.</w:t>
      </w:r>
    </w:p>
    <w:p w:rsidR="00000000" w:rsidDel="00000000" w:rsidP="00000000" w:rsidRDefault="00000000" w:rsidRPr="00000000" w14:paraId="00000015">
      <w:pPr>
        <w:spacing w:line="240" w:lineRule="auto"/>
        <w:ind w:left="1170" w:hanging="450"/>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white"/>
          <w:rtl w:val="0"/>
        </w:rPr>
        <w:t xml:space="preserve">2.4  </w:t>
      </w:r>
      <w:r w:rsidDel="00000000" w:rsidR="00000000" w:rsidRPr="00000000">
        <w:rPr>
          <w:rFonts w:ascii="Helvetica Neue" w:cs="Helvetica Neue" w:eastAsia="Helvetica Neue" w:hAnsi="Helvetica Neue"/>
          <w:highlight w:val="white"/>
          <w:rtl w:val="0"/>
        </w:rPr>
        <w:t xml:space="preserve">A Delegate must not attend the Event, and Regionality Sunshine Coast 2026 venues, have the right to refuse entry, if they:</w:t>
      </w:r>
      <w:r w:rsidDel="00000000" w:rsidR="00000000" w:rsidRPr="00000000">
        <w:rPr>
          <w:rtl w:val="0"/>
        </w:rPr>
      </w:r>
    </w:p>
    <w:p w:rsidR="00000000" w:rsidDel="00000000" w:rsidP="00000000" w:rsidRDefault="00000000" w:rsidRPr="00000000" w14:paraId="00000016">
      <w:pPr>
        <w:spacing w:line="240" w:lineRule="auto"/>
        <w:ind w:left="216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2.4.1  have been asked to leave the Event as a result of a breach of clause 2.1.</w:t>
      </w:r>
    </w:p>
    <w:p w:rsidR="00000000" w:rsidDel="00000000" w:rsidP="00000000" w:rsidRDefault="00000000" w:rsidRPr="00000000" w14:paraId="00000017">
      <w:pPr>
        <w:spacing w:line="240" w:lineRule="auto"/>
        <w:ind w:left="1440" w:firstLine="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bCs w:val="1"/>
          <w:highlight w:val="white"/>
          <w:rtl w:val="0"/>
        </w:rPr>
        <w:t xml:space="preserve">(“Reasons for Refusal”)</w:t>
      </w:r>
      <w:r w:rsidDel="00000000" w:rsidR="00000000" w:rsidRPr="00000000">
        <w:rPr>
          <w:rtl w:val="0"/>
        </w:rPr>
      </w:r>
    </w:p>
    <w:p w:rsidR="00000000" w:rsidDel="00000000" w:rsidP="00000000" w:rsidRDefault="00000000" w:rsidRPr="00000000" w14:paraId="00000018">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2.5 AIDC reserves the right to refuse a Delegate entry to the Event if any of the above Reasons for Refusal applies to a Delegate.</w:t>
      </w:r>
    </w:p>
    <w:p w:rsidR="00000000" w:rsidDel="00000000" w:rsidP="00000000" w:rsidRDefault="00000000" w:rsidRPr="00000000" w14:paraId="00000019">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2.6 These conditions of entry are subject to change without notice and at the discretion of Regionality Sunshine Coast 2026 venues and/or AIDC</w:t>
      </w:r>
      <w:r w:rsidDel="00000000" w:rsidR="00000000" w:rsidRPr="00000000">
        <w:rPr>
          <w:rFonts w:ascii="Helvetica Neue" w:cs="Helvetica Neue" w:eastAsia="Helvetica Neue" w:hAnsi="Helvetica Neue"/>
          <w:highlight w:val="white"/>
          <w:rtl w:val="0"/>
        </w:rPr>
        <w:br w:type="textWrapping"/>
      </w:r>
    </w:p>
    <w:p w:rsidR="00000000" w:rsidDel="00000000" w:rsidP="00000000" w:rsidRDefault="00000000" w:rsidRPr="00000000" w14:paraId="0000001A">
      <w:pPr>
        <w:spacing w:line="240" w:lineRule="auto"/>
        <w:ind w:left="720" w:hanging="36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3.</w:t>
        <w:tab/>
        <w:t xml:space="preserve">Permission to Use of Recordings of Delegates</w:t>
      </w:r>
    </w:p>
    <w:p w:rsidR="00000000" w:rsidDel="00000000" w:rsidP="00000000" w:rsidRDefault="00000000" w:rsidRPr="00000000" w14:paraId="0000001B">
      <w:pPr>
        <w:spacing w:line="240" w:lineRule="auto"/>
        <w:ind w:left="720" w:hanging="36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after="0"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3.1. All registered delegates grant AIDC permission to use visual or sound recordings</w:t>
        <w:br w:type="textWrapping"/>
        <w:t xml:space="preserve">made during the Event that includes their image or voice, in whole or in part, </w:t>
      </w:r>
      <w:r w:rsidDel="00000000" w:rsidR="00000000" w:rsidRPr="00000000">
        <w:rPr>
          <w:rFonts w:ascii="Helvetica Neue" w:cs="Helvetica Neue" w:eastAsia="Helvetica Neue" w:hAnsi="Helvetica Neue"/>
          <w:highlight w:val="white"/>
          <w:rtl w:val="0"/>
        </w:rPr>
        <w:t xml:space="preserve">for any promotional and/or publicity and/or reporting purposes directly related to AIDC and </w:t>
      </w:r>
      <w:r w:rsidDel="00000000" w:rsidR="00000000" w:rsidRPr="00000000">
        <w:rPr>
          <w:rFonts w:ascii="Helvetica Neue" w:cs="Helvetica Neue" w:eastAsia="Helvetica Neue" w:hAnsi="Helvetica Neue"/>
          <w:highlight w:val="white"/>
          <w:rtl w:val="0"/>
        </w:rPr>
        <w:t xml:space="preserve">AIDC’s</w:t>
      </w:r>
      <w:r w:rsidDel="00000000" w:rsidR="00000000" w:rsidRPr="00000000">
        <w:rPr>
          <w:rFonts w:ascii="Helvetica Neue" w:cs="Helvetica Neue" w:eastAsia="Helvetica Neue" w:hAnsi="Helvetica Neue"/>
          <w:highlight w:val="white"/>
          <w:rtl w:val="0"/>
        </w:rPr>
        <w:t xml:space="preserve"> partners or sponsors (“</w:t>
      </w:r>
      <w:r w:rsidDel="00000000" w:rsidR="00000000" w:rsidRPr="00000000">
        <w:rPr>
          <w:rFonts w:ascii="Helvetica Neue" w:cs="Helvetica Neue" w:eastAsia="Helvetica Neue" w:hAnsi="Helvetica Neue"/>
          <w:b w:val="1"/>
          <w:bCs w:val="1"/>
          <w:highlight w:val="white"/>
          <w:rtl w:val="0"/>
        </w:rPr>
        <w:t xml:space="preserve">AIDC Purposes</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highlight w:val="white"/>
          <w:rtl w:val="0"/>
        </w:rPr>
        <w:t xml:space="preserve">, in any format now known or hereafter devised, in perpetuity.</w:t>
      </w:r>
      <w:r w:rsidDel="00000000" w:rsidR="00000000" w:rsidRPr="00000000">
        <w:rPr>
          <w:rtl w:val="0"/>
        </w:rPr>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after="0"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3.2  If delegates do not wish their image or voice to appear in AIDC promotional     material, they will be given the chance to notify Event registration staff of this during the Event.</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0" w:line="240" w:lineRule="auto"/>
        <w:ind w:left="1170" w:hanging="45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F">
      <w:pPr>
        <w:spacing w:line="240" w:lineRule="auto"/>
        <w:ind w:left="720" w:hanging="36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4.</w:t>
        <w:tab/>
        <w:t xml:space="preserve">Pricing</w:t>
      </w:r>
    </w:p>
    <w:p w:rsidR="00000000" w:rsidDel="00000000" w:rsidP="00000000" w:rsidRDefault="00000000" w:rsidRPr="00000000" w14:paraId="00000020">
      <w:pPr>
        <w:spacing w:line="240" w:lineRule="auto"/>
        <w:ind w:left="720" w:hanging="36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1">
      <w:pPr>
        <w:spacing w:line="240" w:lineRule="auto"/>
        <w:ind w:left="117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4.1. All prices are in Australian dollars and </w:t>
      </w:r>
      <w:r w:rsidDel="00000000" w:rsidR="00000000" w:rsidRPr="00000000">
        <w:rPr>
          <w:rFonts w:ascii="Helvetica Neue" w:cs="Helvetica Neue" w:eastAsia="Helvetica Neue" w:hAnsi="Helvetica Neue"/>
          <w:highlight w:val="white"/>
          <w:rtl w:val="0"/>
        </w:rPr>
        <w:t xml:space="preserve">GST inclusive but exclusive of credit card </w:t>
      </w:r>
      <w:r w:rsidDel="00000000" w:rsidR="00000000" w:rsidRPr="00000000">
        <w:rPr>
          <w:rFonts w:ascii="Helvetica Neue" w:cs="Helvetica Neue" w:eastAsia="Helvetica Neue" w:hAnsi="Helvetica Neue"/>
          <w:highlight w:val="white"/>
          <w:rtl w:val="0"/>
        </w:rPr>
        <w:t xml:space="preserve">charges. Charges are 2.5% of the total purchase price and will be charged upon checkout.</w:t>
      </w:r>
    </w:p>
    <w:p w:rsidR="00000000" w:rsidDel="00000000" w:rsidP="00000000" w:rsidRDefault="00000000" w:rsidRPr="00000000" w14:paraId="00000022">
      <w:pPr>
        <w:spacing w:line="240" w:lineRule="auto"/>
        <w:ind w:left="1240" w:hanging="44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3">
      <w:pPr>
        <w:spacing w:line="240" w:lineRule="auto"/>
        <w:ind w:left="720" w:hanging="36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5.</w:t>
        <w:tab/>
        <w:t xml:space="preserve">Passes</w:t>
      </w:r>
    </w:p>
    <w:p w:rsidR="00000000" w:rsidDel="00000000" w:rsidP="00000000" w:rsidRDefault="00000000" w:rsidRPr="00000000" w14:paraId="00000024">
      <w:pPr>
        <w:spacing w:line="240" w:lineRule="auto"/>
        <w:ind w:left="720" w:hanging="36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25">
      <w:pPr>
        <w:spacing w:line="240" w:lineRule="auto"/>
        <w:ind w:left="124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5.1 Delegates may purchase one type of registration that allows in-person access to the Event.</w:t>
      </w:r>
    </w:p>
    <w:p w:rsidR="00000000" w:rsidDel="00000000" w:rsidP="00000000" w:rsidRDefault="00000000" w:rsidRPr="00000000" w14:paraId="00000026">
      <w:pPr>
        <w:spacing w:line="240" w:lineRule="auto"/>
        <w:ind w:left="124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 </w:t>
      </w:r>
      <w:r w:rsidDel="00000000" w:rsidR="00000000" w:rsidRPr="00000000">
        <w:rPr>
          <w:rFonts w:ascii="Helvetica Neue" w:cs="Helvetica Neue" w:eastAsia="Helvetica Neue" w:hAnsi="Helvetica Neue"/>
          <w:highlight w:val="white"/>
          <w:rtl w:val="0"/>
        </w:rPr>
        <w:t xml:space="preserve">Registration </w:t>
      </w:r>
      <w:r w:rsidDel="00000000" w:rsidR="00000000" w:rsidRPr="00000000">
        <w:rPr>
          <w:rFonts w:ascii="Helvetica Neue" w:cs="Helvetica Neue" w:eastAsia="Helvetica Neue" w:hAnsi="Helvetica Neue"/>
          <w:highlight w:val="white"/>
          <w:rtl w:val="0"/>
        </w:rPr>
        <w:t xml:space="preserve">Includes: </w:t>
      </w:r>
    </w:p>
    <w:p w:rsidR="00000000" w:rsidDel="00000000" w:rsidP="00000000" w:rsidRDefault="00000000" w:rsidRPr="00000000" w14:paraId="00000027">
      <w:pPr>
        <w:spacing w:line="240" w:lineRule="auto"/>
        <w:ind w:left="196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5.2.1 In-person entry to the Event at Maroochy RSL Events Centre on Friday 7 August 2026</w:t>
      </w:r>
    </w:p>
    <w:p w:rsidR="00000000" w:rsidDel="00000000" w:rsidP="00000000" w:rsidRDefault="00000000" w:rsidRPr="00000000" w14:paraId="00000028">
      <w:pPr>
        <w:spacing w:line="240" w:lineRule="auto"/>
        <w:ind w:left="196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5.2.2 In-person entry to all sessions </w:t>
      </w:r>
    </w:p>
    <w:p w:rsidR="00000000" w:rsidDel="00000000" w:rsidP="00000000" w:rsidRDefault="00000000" w:rsidRPr="00000000" w14:paraId="00000029">
      <w:pPr>
        <w:spacing w:line="240" w:lineRule="auto"/>
        <w:ind w:left="196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5.2.3 In-person access to Doc:Chat meetings (if selected only)</w:t>
      </w:r>
    </w:p>
    <w:p w:rsidR="00000000" w:rsidDel="00000000" w:rsidP="00000000" w:rsidRDefault="00000000" w:rsidRPr="00000000" w14:paraId="0000002A">
      <w:pPr>
        <w:spacing w:line="240" w:lineRule="auto"/>
        <w:ind w:left="1960" w:hanging="44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5.2.4 In-person entry to networking activities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380" w:line="240" w:lineRule="auto"/>
        <w:ind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5.3  Note: the pass does not guarantee entry to sessions with limited capacity that</w:t>
        <w:br w:type="textWrapping"/>
        <w:tab/>
        <w:t xml:space="preserve">         require prior booking</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0" w:line="240" w:lineRule="auto"/>
        <w:ind w:left="810" w:hanging="45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6. </w:t>
        <w:tab/>
        <w:t xml:space="preserve">Use Of Email And Personal Information</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pacing w:after="0" w:line="240" w:lineRule="auto"/>
        <w:ind w:left="810" w:hanging="45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after="0" w:line="240" w:lineRule="auto"/>
        <w:ind w:left="126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6.1. All registered delegates will have their email address added to the e-newsletter               subscription </w:t>
      </w:r>
      <w:r w:rsidDel="00000000" w:rsidR="00000000" w:rsidRPr="00000000">
        <w:rPr>
          <w:rFonts w:ascii="Helvetica Neue" w:cs="Helvetica Neue" w:eastAsia="Helvetica Neue" w:hAnsi="Helvetica Neue"/>
          <w:highlight w:val="white"/>
          <w:rtl w:val="0"/>
        </w:rPr>
        <w:t xml:space="preserve">lists</w:t>
      </w:r>
      <w:r w:rsidDel="00000000" w:rsidR="00000000" w:rsidRPr="00000000">
        <w:rPr>
          <w:rFonts w:ascii="Helvetica Neue" w:cs="Helvetica Neue" w:eastAsia="Helvetica Neue" w:hAnsi="Helvetica Neue"/>
          <w:highlight w:val="white"/>
          <w:rtl w:val="0"/>
        </w:rPr>
        <w:t xml:space="preserve"> unless they choose to opt out.</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after="0" w:line="240" w:lineRule="auto"/>
        <w:ind w:left="126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6.2. While registering, delegates can opt out of their contact details being published.</w:t>
        <w:br w:type="textWrapping"/>
        <w:br w:type="textWrapping"/>
      </w: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pacing w:after="0" w:line="240" w:lineRule="auto"/>
        <w:ind w:left="900" w:hanging="54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bCs w:val="1"/>
          <w:highlight w:val="white"/>
          <w:rtl w:val="0"/>
        </w:rPr>
        <w:t xml:space="preserve">7. </w:t>
        <w:tab/>
        <w:t xml:space="preserve">COVID-19 Release</w:t>
      </w:r>
      <w:r w:rsidDel="00000000" w:rsidR="00000000" w:rsidRPr="00000000">
        <w:rPr>
          <w:rtl w:val="0"/>
        </w:rPr>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pacing w:after="0" w:line="240" w:lineRule="auto"/>
        <w:ind w:left="900" w:hanging="54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pacing w:after="0" w:line="240" w:lineRule="auto"/>
        <w:ind w:left="12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w:t>
      </w:r>
      <w:r w:rsidDel="00000000" w:rsidR="00000000" w:rsidRPr="00000000">
        <w:rPr>
          <w:rFonts w:ascii="Helvetica Neue" w:cs="Helvetica Neue" w:eastAsia="Helvetica Neue" w:hAnsi="Helvetica Neue"/>
          <w:highlight w:val="white"/>
          <w:rtl w:val="0"/>
        </w:rPr>
        <w:t xml:space="preserve">.1. You acknowledge that due to the contagious nature of COVID-19, by attending in-person sessions you are at risk of contracting COVID-19 or related illnesses which may result in severe or permanent damage to your health and that:</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7.1.1 You are attending the in-person sessions at your own risk;</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7.1.2 You have evaluated all risks involved with attending the in-person sessions, including but not limited to whether you are immunocompromised;</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7.1.3 You voluntarily accept and assume the risks and dangers you may encounter at the in-person sessions;</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7.1.4 You acknowledge that you may be exposed to COVID-19 as a result of the actions, omissions or negligence of yourself or others, including but not limited to the directors, officers, employees, representatives, contractors (and their respective employees), invitees or agents of AIDC; and</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7.1.5 You acknowledge full and complete assumptions of the risks.</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pacing w:after="0" w:line="240" w:lineRule="auto"/>
        <w:ind w:left="1350" w:hanging="45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7.2 </w:t>
        <w:tab/>
        <w:t xml:space="preserve">By agreeing to these terms and conditions, you release and discharge AIDC or its officers, employees and agents for any injury, illness, damage, loss or harm, disability or death to you or otherwise, resulting or arising out of or in any way related to preparation for, travel to, attendance at, and participation in the Event. To the maximum extent permitted by law, AIDC will not be responsible for any loss, damage, personal injury, illness, permanent disability or death arising from your attendance at the Event.</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pacing w:after="0" w:line="240" w:lineRule="auto"/>
        <w:ind w:left="2340" w:hanging="63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pacing w:after="0" w:line="240" w:lineRule="auto"/>
        <w:ind w:left="0" w:firstLine="0"/>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bCs w:val="1"/>
          <w:highlight w:val="white"/>
          <w:rtl w:val="0"/>
        </w:rPr>
        <w:t xml:space="preserve">8. Cancellation, Refund &amp; Exchange Policy</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0" w:line="240" w:lineRule="auto"/>
        <w:ind w:left="0" w:firstLine="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0" w:line="240" w:lineRule="auto"/>
        <w:ind w:left="99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w:t>
      </w:r>
      <w:r w:rsidDel="00000000" w:rsidR="00000000" w:rsidRPr="00000000">
        <w:rPr>
          <w:rFonts w:ascii="Helvetica Neue" w:cs="Helvetica Neue" w:eastAsia="Helvetica Neue" w:hAnsi="Helvetica Neue"/>
          <w:highlight w:val="white"/>
          <w:rtl w:val="0"/>
        </w:rPr>
        <w:t xml:space="preserve">.1 Cancellations and refund requests must be received in writing to info@aidc.com.au   before 23:59pm (AEST) on Thursday 23 July 2026 (two weeks prior to the event). If accepted, a full refund of your registration fee can be provided, less transaction fees and less a cancellation fee of </w:t>
      </w:r>
      <w:r w:rsidDel="00000000" w:rsidR="00000000" w:rsidRPr="00000000">
        <w:rPr>
          <w:rFonts w:ascii="Helvetica Neue" w:cs="Helvetica Neue" w:eastAsia="Helvetica Neue" w:hAnsi="Helvetica Neue"/>
          <w:highlight w:val="white"/>
          <w:rtl w:val="0"/>
        </w:rPr>
        <w:t xml:space="preserve">AUD$15 + GST</w:t>
      </w:r>
      <w:r w:rsidDel="00000000" w:rsidR="00000000" w:rsidRPr="00000000">
        <w:rPr>
          <w:rFonts w:ascii="Helvetica Neue" w:cs="Helvetica Neue" w:eastAsia="Helvetica Neue" w:hAnsi="Helvetica Neue"/>
          <w:highlight w:val="white"/>
          <w:rtl w:val="0"/>
        </w:rPr>
        <w:t xml:space="preserve">. No refunds will be available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(AEST) Friday 24 July 2026.</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0" w:line="240" w:lineRule="auto"/>
        <w:ind w:left="99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8.2 No refunds will be offered if you are refused entry or do not meet the conditions of entry as set out above. </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pacing w:after="0" w:line="240" w:lineRule="auto"/>
        <w:ind w:left="99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8.3 </w:t>
      </w:r>
      <w:r w:rsidDel="00000000" w:rsidR="00000000" w:rsidRPr="00000000">
        <w:rPr>
          <w:rFonts w:ascii="Helvetica Neue" w:cs="Helvetica Neue" w:eastAsia="Helvetica Neue" w:hAnsi="Helvetica Neue"/>
          <w:highlight w:val="white"/>
          <w:rtl w:val="0"/>
        </w:rPr>
        <w:t xml:space="preserve">No refunds will be offered if you do not wish to attend the in-person sessions due to being in a higher risk group or fear of exposure to COVID-19. </w:t>
      </w:r>
      <w:r w:rsidDel="00000000" w:rsidR="00000000" w:rsidRPr="00000000">
        <w:rPr>
          <w:rtl w:val="0"/>
        </w:rPr>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pacing w:after="0" w:line="240" w:lineRule="auto"/>
        <w:ind w:left="99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 The following cancellation terms apply in the following circumstances:</w:t>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pacing w:after="0" w:line="240" w:lineRule="auto"/>
        <w:ind w:left="2250" w:hanging="540"/>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8.4.1. Change of Mind</w:t>
      </w:r>
      <w:r w:rsidDel="00000000" w:rsidR="00000000" w:rsidRPr="00000000">
        <w:rPr>
          <w:rtl w:val="0"/>
        </w:rPr>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spacing w:after="0" w:line="240" w:lineRule="auto"/>
        <w:ind w:left="2340" w:firstLine="0"/>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No refunds will be provided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(AEST) Friday 24 July 2026 for change of mind.</w:t>
      </w:r>
      <w:r w:rsidDel="00000000" w:rsidR="00000000" w:rsidRPr="00000000">
        <w:rPr>
          <w:rtl w:val="0"/>
        </w:rPr>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pacing w:after="0" w:line="240" w:lineRule="auto"/>
        <w:ind w:left="99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8.5 Exchange requests are at the sole discretion of AIDC and must be received in writing to info@aidc.com.au. If accepted, delegates will be notified and a new </w:t>
      </w:r>
      <w:r w:rsidDel="00000000" w:rsidR="00000000" w:rsidRPr="00000000">
        <w:rPr>
          <w:rFonts w:ascii="Helvetica Neue" w:cs="Helvetica Neue" w:eastAsia="Helvetica Neue" w:hAnsi="Helvetica Neue"/>
          <w:highlight w:val="white"/>
          <w:rtl w:val="0"/>
        </w:rPr>
        <w:t xml:space="preserve">registration</w:t>
      </w:r>
      <w:r w:rsidDel="00000000" w:rsidR="00000000" w:rsidRPr="00000000">
        <w:rPr>
          <w:rFonts w:ascii="Helvetica Neue" w:cs="Helvetica Neue" w:eastAsia="Helvetica Neue" w:hAnsi="Helvetica Neue"/>
          <w:highlight w:val="white"/>
          <w:rtl w:val="0"/>
        </w:rPr>
        <w:t xml:space="preserve"> issued. Any price difference will be charged or refunded less a service fee of $15 </w:t>
      </w:r>
      <w:r w:rsidDel="00000000" w:rsidR="00000000" w:rsidRPr="00000000">
        <w:rPr>
          <w:rFonts w:ascii="Helvetica Neue" w:cs="Helvetica Neue" w:eastAsia="Helvetica Neue" w:hAnsi="Helvetica Neue"/>
          <w:highlight w:val="white"/>
          <w:rtl w:val="0"/>
        </w:rPr>
        <w:t xml:space="preserve">AUD+</w:t>
      </w:r>
      <w:r w:rsidDel="00000000" w:rsidR="00000000" w:rsidRPr="00000000">
        <w:rPr>
          <w:rFonts w:ascii="Helvetica Neue" w:cs="Helvetica Neue" w:eastAsia="Helvetica Neue" w:hAnsi="Helvetica Neue"/>
          <w:highlight w:val="white"/>
          <w:rtl w:val="0"/>
        </w:rPr>
        <w:t xml:space="preserve"> GST.</w:t>
      </w:r>
    </w:p>
    <w:p w:rsidR="00000000" w:rsidDel="00000000" w:rsidP="00000000" w:rsidRDefault="00000000" w:rsidRPr="00000000" w14:paraId="00000044">
      <w:pPr>
        <w:spacing w:line="240" w:lineRule="auto"/>
        <w:rPr>
          <w:rFonts w:ascii="Helvetica Neue" w:cs="Helvetica Neue" w:eastAsia="Helvetica Neue" w:hAnsi="Helvetica Neue"/>
          <w:highlight w:val="whit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t xml:space="preserve">AIDC May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